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</w:pPr>
      <w:r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  <w:t xml:space="preserve">Ecole Sacré 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œ</w:t>
      </w:r>
      <w:r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  <w:t xml:space="preserve">ur</w:t>
      </w:r>
    </w:p>
    <w:p>
      <w:pPr>
        <w:spacing w:before="0" w:after="160" w:line="259"/>
        <w:ind w:right="0" w:left="0" w:firstLine="0"/>
        <w:jc w:val="left"/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</w:pPr>
      <w:r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  <w:t xml:space="preserve">Classe de Ce1 </w:t>
      </w:r>
    </w:p>
    <w:p>
      <w:pPr>
        <w:spacing w:before="0" w:after="160" w:line="259"/>
        <w:ind w:right="0" w:left="0" w:firstLine="0"/>
        <w:jc w:val="left"/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hinacat" w:hAnsi="Chinacat" w:cs="Chinacat" w:eastAsia="Chinacat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57"/>
        <w:gridCol w:w="3543"/>
        <w:gridCol w:w="2694"/>
      </w:tblGrid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Fournitures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Dans la trousse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Dans la réserve</w:t>
            </w: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Règle plate rigide </w:t>
            </w: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non métallique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 20 cm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Gomme blanche pour crayon à papier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Crayon à papier H.B.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Taille crayon (avec réservoir)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Crayon feutre moyen (boîte de 12)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Crayons de couleur (boîte de 12)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Crayon à encre effaçable (bleu, vert, noir) + recharges </w:t>
            </w:r>
            <w:r>
              <w:rPr>
                <w:rFonts w:ascii="Comic Sans MS" w:hAnsi="Comic Sans MS" w:cs="Comic Sans MS" w:eastAsia="Comic Sans MS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Type Frixion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1 bleu, 1 vert, 1 noir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4 recharges bleues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4 recharges vertes</w:t>
            </w:r>
          </w:p>
        </w:tc>
      </w:tr>
      <w:tr>
        <w:trPr>
          <w:trHeight w:val="27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Colle stick (genre UHU)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Feutre ardoise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Ciseaux à bouts arrondis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Surligneur fluo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6"/>
                <w:shd w:fill="auto" w:val="clear"/>
              </w:rPr>
              <w:t xml:space="preserve">1 jaune / 1 orange / 1 bleu / 1 vert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111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Prévoir pour la rentrée</w:t>
            </w:r>
          </w:p>
        </w:tc>
      </w:tr>
      <w:tr>
        <w:trPr>
          <w:trHeight w:val="537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Dictionnaire Larousse « Junior CE/CM-7/11ans » (dernière édition) (pas le format poche)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7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Ardoise + chiffon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Cahier de texte (pas agenda)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Boîte de mouchoirs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Blouse manches longues (peinture)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Calendrier (grand format pour créer un sous-main)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Chères familles, 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Pour le bon déroulement de la classe, nous souhaiterions que les enfants arrivent le jour de la rentrée avec les fournitures indiquées ci-dessus dans une trousse, qui restera à l’école le soir. 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Il est souhaité également que les crayons couleur et crayons feutres soient placés dans une deuxième trousse, qui sera rangée dans le casier de votre enfant en classe.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Nous souhaitons une réserve (sac congélateur au nom de l’enfant) pour chaque enfant. La réserve sera également conservée en classe et permettra à votre enfant, s’il lui manque une des fournitures, de se la procurer sans perdre de temps et sans perturber la classe.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 chaque fin de période, nous  vous rendrons la réserve pour refaire le point avec votre enfant. En fin d’année, la réserve des fournitures non utilisée sera restituée à l’enfant.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Nous vous souhaitons un bel été et de belles vacances aux enfants.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Les enseignantes de CE1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